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0A" w:rsidRPr="000D340A" w:rsidRDefault="000D340A" w:rsidP="000D340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0D340A">
        <w:rPr>
          <w:b/>
          <w:bCs/>
          <w:color w:val="000000"/>
          <w:sz w:val="24"/>
          <w:szCs w:val="24"/>
        </w:rPr>
        <w:t>SUBDUCTION-ZONE BEHAVIOR BACKED OUT OF TSUNAMI DEPOSITS,</w:t>
      </w:r>
    </w:p>
    <w:p w:rsidR="000D340A" w:rsidRPr="000D340A" w:rsidRDefault="000D340A" w:rsidP="000D340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0D340A">
        <w:rPr>
          <w:b/>
          <w:bCs/>
          <w:color w:val="000000"/>
          <w:sz w:val="24"/>
          <w:szCs w:val="24"/>
        </w:rPr>
        <w:t>KAMCHATKA, FAR EASTERN RUSSIA</w:t>
      </w:r>
    </w:p>
    <w:p w:rsidR="000D340A" w:rsidRPr="000D340A" w:rsidRDefault="000D340A" w:rsidP="000D340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D340A" w:rsidRPr="000D340A" w:rsidRDefault="000D340A" w:rsidP="000D340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0D340A">
        <w:rPr>
          <w:b/>
          <w:bCs/>
          <w:color w:val="000000"/>
          <w:sz w:val="24"/>
          <w:szCs w:val="24"/>
        </w:rPr>
        <w:t>Joanne Bourgeois</w:t>
      </w:r>
      <w:r w:rsidRPr="000D340A">
        <w:rPr>
          <w:b/>
          <w:bCs/>
          <w:color w:val="000000"/>
          <w:sz w:val="24"/>
          <w:szCs w:val="24"/>
          <w:vertAlign w:val="superscript"/>
        </w:rPr>
        <w:t>1</w:t>
      </w:r>
      <w:r w:rsidRPr="000D340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0D340A">
        <w:rPr>
          <w:b/>
          <w:bCs/>
          <w:color w:val="000000"/>
          <w:sz w:val="24"/>
          <w:szCs w:val="24"/>
        </w:rPr>
        <w:t>Vasily</w:t>
      </w:r>
      <w:proofErr w:type="spellEnd"/>
      <w:r w:rsidRPr="000D340A">
        <w:rPr>
          <w:b/>
          <w:bCs/>
          <w:color w:val="000000"/>
          <w:sz w:val="24"/>
          <w:szCs w:val="24"/>
        </w:rPr>
        <w:t xml:space="preserve"> Titov</w:t>
      </w:r>
      <w:r w:rsidRPr="000D340A">
        <w:rPr>
          <w:b/>
          <w:bCs/>
          <w:color w:val="000000"/>
          <w:sz w:val="24"/>
          <w:szCs w:val="24"/>
          <w:vertAlign w:val="superscript"/>
        </w:rPr>
        <w:t>2</w:t>
      </w:r>
      <w:r w:rsidRPr="000D340A">
        <w:rPr>
          <w:b/>
          <w:bCs/>
          <w:color w:val="000000"/>
          <w:sz w:val="24"/>
          <w:szCs w:val="24"/>
        </w:rPr>
        <w:t>, Tanya Pinegina</w:t>
      </w:r>
      <w:r w:rsidRPr="000D340A">
        <w:rPr>
          <w:b/>
          <w:bCs/>
          <w:color w:val="000000"/>
          <w:sz w:val="24"/>
          <w:szCs w:val="24"/>
          <w:vertAlign w:val="superscript"/>
        </w:rPr>
        <w:t>3</w:t>
      </w:r>
    </w:p>
    <w:p w:rsidR="000D340A" w:rsidRPr="000D340A" w:rsidRDefault="000D340A" w:rsidP="000D340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0D340A">
        <w:rPr>
          <w:i/>
          <w:iCs/>
          <w:color w:val="000000"/>
          <w:sz w:val="24"/>
          <w:szCs w:val="24"/>
          <w:vertAlign w:val="superscript"/>
        </w:rPr>
        <w:t>1</w:t>
      </w:r>
      <w:r w:rsidRPr="000D340A">
        <w:rPr>
          <w:i/>
          <w:iCs/>
          <w:color w:val="000000"/>
          <w:sz w:val="24"/>
          <w:szCs w:val="24"/>
        </w:rPr>
        <w:t>Earth &amp; Space Sciences, Univ. of Washington. Seattle, WA, USA.</w:t>
      </w:r>
    </w:p>
    <w:p w:rsidR="000D340A" w:rsidRPr="000D340A" w:rsidRDefault="000D340A" w:rsidP="000D340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0D340A">
        <w:rPr>
          <w:i/>
          <w:iCs/>
          <w:color w:val="000000"/>
          <w:sz w:val="24"/>
          <w:szCs w:val="24"/>
          <w:vertAlign w:val="superscript"/>
        </w:rPr>
        <w:t>2</w:t>
      </w:r>
      <w:r w:rsidRPr="000D340A">
        <w:rPr>
          <w:i/>
          <w:iCs/>
          <w:color w:val="000000"/>
          <w:sz w:val="24"/>
          <w:szCs w:val="24"/>
        </w:rPr>
        <w:t xml:space="preserve"> JISAO (UW)-PMEL (NOAA), Seattle, Washington. USA.</w:t>
      </w:r>
    </w:p>
    <w:p w:rsidR="000D340A" w:rsidRPr="000D340A" w:rsidRDefault="000D340A" w:rsidP="000D340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0D340A">
        <w:rPr>
          <w:i/>
          <w:iCs/>
          <w:color w:val="000000"/>
          <w:sz w:val="24"/>
          <w:szCs w:val="24"/>
          <w:vertAlign w:val="superscript"/>
        </w:rPr>
        <w:t>3</w:t>
      </w:r>
      <w:r w:rsidRPr="000D340A">
        <w:rPr>
          <w:i/>
          <w:iCs/>
          <w:color w:val="000000"/>
          <w:sz w:val="24"/>
          <w:szCs w:val="24"/>
        </w:rPr>
        <w:t>Institute of Volcanology &amp; Seismology, Petropavlovsk-Kamchatsky, Russia.</w:t>
      </w:r>
      <w:bookmarkStart w:id="0" w:name="_GoBack"/>
      <w:bookmarkEnd w:id="0"/>
    </w:p>
    <w:p w:rsidR="000D340A" w:rsidRPr="000D340A" w:rsidRDefault="000D340A" w:rsidP="000D34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D340A" w:rsidRPr="000D340A" w:rsidRDefault="000D340A" w:rsidP="000D340A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4"/>
          <w:szCs w:val="24"/>
        </w:rPr>
      </w:pPr>
      <w:r w:rsidRPr="000D340A">
        <w:rPr>
          <w:color w:val="000000"/>
          <w:sz w:val="24"/>
          <w:szCs w:val="24"/>
        </w:rPr>
        <w:t xml:space="preserve">For nearly ten years on Kamchatka, our team of geoscientists has been collecting data on tsunami deposits, both historical and pre-historical. Abundant Holocene tephra on Kamchatka permit constraints on the timing of both historical and prehistoric tsunamis, which we take as proxies for subduction-zone earthquakes. Millennial-scale histories are one goal of these studies (e.g., </w:t>
      </w:r>
      <w:proofErr w:type="spellStart"/>
      <w:r w:rsidRPr="000D340A">
        <w:rPr>
          <w:color w:val="000000"/>
          <w:sz w:val="24"/>
          <w:szCs w:val="24"/>
        </w:rPr>
        <w:t>Pinegina</w:t>
      </w:r>
      <w:proofErr w:type="spellEnd"/>
      <w:r w:rsidRPr="000D340A">
        <w:rPr>
          <w:color w:val="000000"/>
          <w:sz w:val="24"/>
          <w:szCs w:val="24"/>
        </w:rPr>
        <w:t xml:space="preserve"> and Bourgeois, 2003; </w:t>
      </w:r>
      <w:proofErr w:type="spellStart"/>
      <w:r w:rsidRPr="000D340A">
        <w:rPr>
          <w:color w:val="000000"/>
          <w:sz w:val="24"/>
          <w:szCs w:val="24"/>
        </w:rPr>
        <w:t>Pinegina</w:t>
      </w:r>
      <w:proofErr w:type="spellEnd"/>
      <w:r w:rsidRPr="000D340A">
        <w:rPr>
          <w:color w:val="000000"/>
          <w:sz w:val="24"/>
          <w:szCs w:val="24"/>
        </w:rPr>
        <w:t xml:space="preserve"> et al., 2003a&amp;b). Another goal is enhanced investigation of historical tsunamis (as catalogued by </w:t>
      </w:r>
      <w:proofErr w:type="spellStart"/>
      <w:r w:rsidRPr="000D340A">
        <w:rPr>
          <w:color w:val="000000"/>
          <w:sz w:val="24"/>
          <w:szCs w:val="24"/>
        </w:rPr>
        <w:t>Zayakin</w:t>
      </w:r>
      <w:proofErr w:type="spellEnd"/>
      <w:r w:rsidRPr="000D340A">
        <w:rPr>
          <w:color w:val="000000"/>
          <w:sz w:val="24"/>
          <w:szCs w:val="24"/>
        </w:rPr>
        <w:t xml:space="preserve"> and </w:t>
      </w:r>
      <w:proofErr w:type="spellStart"/>
      <w:r w:rsidRPr="000D340A">
        <w:rPr>
          <w:color w:val="000000"/>
          <w:sz w:val="24"/>
          <w:szCs w:val="24"/>
        </w:rPr>
        <w:t>Luchinina</w:t>
      </w:r>
      <w:proofErr w:type="spellEnd"/>
      <w:r w:rsidRPr="000D340A">
        <w:rPr>
          <w:color w:val="000000"/>
          <w:sz w:val="24"/>
          <w:szCs w:val="24"/>
        </w:rPr>
        <w:t xml:space="preserve">, 1987; plus 1997 </w:t>
      </w:r>
      <w:proofErr w:type="spellStart"/>
      <w:r w:rsidRPr="000D340A">
        <w:rPr>
          <w:color w:val="000000"/>
          <w:sz w:val="24"/>
          <w:szCs w:val="24"/>
        </w:rPr>
        <w:t>Krontoskoye</w:t>
      </w:r>
      <w:proofErr w:type="spellEnd"/>
      <w:r w:rsidRPr="000D340A">
        <w:rPr>
          <w:color w:val="000000"/>
          <w:sz w:val="24"/>
          <w:szCs w:val="24"/>
        </w:rPr>
        <w:t xml:space="preserve">), both to generate benchmarks for older tsunami deposits, and also, as shown below, to elucidate earthquake-tsunami linkages during these remote, recent events. </w:t>
      </w:r>
    </w:p>
    <w:p w:rsidR="000D340A" w:rsidRPr="000D340A" w:rsidRDefault="000D340A" w:rsidP="000D340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0D340A">
        <w:rPr>
          <w:i/>
          <w:iCs/>
          <w:color w:val="000000"/>
          <w:sz w:val="24"/>
          <w:szCs w:val="24"/>
        </w:rPr>
        <w:t xml:space="preserve">1969 </w:t>
      </w:r>
      <w:proofErr w:type="spellStart"/>
      <w:r w:rsidRPr="000D340A">
        <w:rPr>
          <w:i/>
          <w:iCs/>
          <w:color w:val="000000"/>
          <w:sz w:val="24"/>
          <w:szCs w:val="24"/>
        </w:rPr>
        <w:t>Ozernoi</w:t>
      </w:r>
      <w:proofErr w:type="spellEnd"/>
      <w:r w:rsidRPr="000D340A">
        <w:rPr>
          <w:i/>
          <w:iCs/>
          <w:color w:val="000000"/>
          <w:sz w:val="24"/>
          <w:szCs w:val="24"/>
        </w:rPr>
        <w:t xml:space="preserve"> earthquake and tsunami</w:t>
      </w:r>
    </w:p>
    <w:p w:rsidR="000D340A" w:rsidRPr="000D340A" w:rsidRDefault="000D340A" w:rsidP="000D340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D340A">
        <w:rPr>
          <w:color w:val="000000"/>
          <w:sz w:val="24"/>
          <w:szCs w:val="24"/>
        </w:rPr>
        <w:t xml:space="preserve">On 22 November 1969, 23:09:35 GMT (locally midday, 23 November), an earthquake jolted the </w:t>
      </w:r>
      <w:proofErr w:type="spellStart"/>
      <w:r w:rsidRPr="000D340A">
        <w:rPr>
          <w:color w:val="000000"/>
          <w:sz w:val="24"/>
          <w:szCs w:val="24"/>
        </w:rPr>
        <w:t>Ozernoi</w:t>
      </w:r>
      <w:proofErr w:type="spellEnd"/>
      <w:r w:rsidRPr="000D340A">
        <w:rPr>
          <w:color w:val="000000"/>
          <w:sz w:val="24"/>
          <w:szCs w:val="24"/>
        </w:rPr>
        <w:t xml:space="preserve"> Peninsula, with local shaking of 7-8 MM (</w:t>
      </w:r>
      <w:proofErr w:type="spellStart"/>
      <w:r w:rsidRPr="000D340A">
        <w:rPr>
          <w:color w:val="000000"/>
          <w:sz w:val="24"/>
          <w:szCs w:val="24"/>
        </w:rPr>
        <w:t>Fedotov</w:t>
      </w:r>
      <w:proofErr w:type="spellEnd"/>
      <w:r w:rsidRPr="000D340A">
        <w:rPr>
          <w:color w:val="000000"/>
          <w:sz w:val="24"/>
          <w:szCs w:val="24"/>
        </w:rPr>
        <w:t xml:space="preserve"> and </w:t>
      </w:r>
      <w:proofErr w:type="spellStart"/>
      <w:r w:rsidRPr="000D340A">
        <w:rPr>
          <w:color w:val="000000"/>
          <w:sz w:val="24"/>
          <w:szCs w:val="24"/>
        </w:rPr>
        <w:t>Gusev</w:t>
      </w:r>
      <w:proofErr w:type="spellEnd"/>
      <w:r w:rsidRPr="000D340A">
        <w:rPr>
          <w:color w:val="000000"/>
          <w:sz w:val="24"/>
          <w:szCs w:val="24"/>
        </w:rPr>
        <w:t xml:space="preserve">, 1973). The epicenter was located at 57.8oN, 163.6oE, just off the </w:t>
      </w:r>
      <w:proofErr w:type="spellStart"/>
      <w:r w:rsidRPr="000D340A">
        <w:rPr>
          <w:color w:val="000000"/>
          <w:sz w:val="24"/>
          <w:szCs w:val="24"/>
        </w:rPr>
        <w:t>Ozernoi</w:t>
      </w:r>
      <w:proofErr w:type="spellEnd"/>
      <w:r w:rsidRPr="000D340A">
        <w:rPr>
          <w:color w:val="000000"/>
          <w:sz w:val="24"/>
          <w:szCs w:val="24"/>
        </w:rPr>
        <w:t xml:space="preserve"> Peninsula. </w:t>
      </w:r>
      <w:proofErr w:type="spellStart"/>
      <w:r w:rsidRPr="000D340A">
        <w:rPr>
          <w:color w:val="000000"/>
          <w:sz w:val="24"/>
          <w:szCs w:val="24"/>
        </w:rPr>
        <w:t>Fedotov</w:t>
      </w:r>
      <w:proofErr w:type="spellEnd"/>
      <w:r w:rsidRPr="000D340A">
        <w:rPr>
          <w:color w:val="000000"/>
          <w:sz w:val="24"/>
          <w:szCs w:val="24"/>
        </w:rPr>
        <w:t xml:space="preserve"> and </w:t>
      </w:r>
      <w:proofErr w:type="spellStart"/>
      <w:r w:rsidRPr="000D340A">
        <w:rPr>
          <w:color w:val="000000"/>
          <w:sz w:val="24"/>
          <w:szCs w:val="24"/>
        </w:rPr>
        <w:t>Gusev</w:t>
      </w:r>
      <w:proofErr w:type="spellEnd"/>
      <w:r w:rsidRPr="000D340A">
        <w:rPr>
          <w:color w:val="000000"/>
          <w:sz w:val="24"/>
          <w:szCs w:val="24"/>
        </w:rPr>
        <w:t xml:space="preserve"> (1973) interpreted this earthquake as an oblique slip event with a significant component of left strike slip, but as early as 1975, it had been reinterpreted as a thrust fault (Cormier, 1975), based on data from global and Canadian seismograph networks. Using body waveform analysis, </w:t>
      </w:r>
      <w:proofErr w:type="spellStart"/>
      <w:r w:rsidRPr="000D340A">
        <w:rPr>
          <w:color w:val="000000"/>
          <w:sz w:val="24"/>
          <w:szCs w:val="24"/>
        </w:rPr>
        <w:t>Daughton</w:t>
      </w:r>
      <w:proofErr w:type="spellEnd"/>
      <w:r w:rsidRPr="000D340A">
        <w:rPr>
          <w:color w:val="000000"/>
          <w:sz w:val="24"/>
          <w:szCs w:val="24"/>
        </w:rPr>
        <w:t xml:space="preserve"> (1990) also found a thrust fault-plane solution, striking N50o-80oE and dipping 5o- 10oNW, and assigned a moment magnitude of 7.8. Various magnitude for this earthquake have been published (7.3-7.8); a tsunami magnitude Mt=7.7 based on the tsunami height at Hawaii is consistent with a moment magnitude of 7.7-7.8.</w:t>
      </w:r>
    </w:p>
    <w:p w:rsidR="000D340A" w:rsidRPr="000D340A" w:rsidRDefault="000D340A" w:rsidP="000D34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340A">
        <w:rPr>
          <w:color w:val="000000"/>
          <w:sz w:val="24"/>
          <w:szCs w:val="24"/>
        </w:rPr>
        <w:t xml:space="preserve">The 1969 </w:t>
      </w:r>
      <w:proofErr w:type="spellStart"/>
      <w:r w:rsidRPr="000D340A">
        <w:rPr>
          <w:color w:val="000000"/>
          <w:sz w:val="24"/>
          <w:szCs w:val="24"/>
        </w:rPr>
        <w:t>Ozernoi</w:t>
      </w:r>
      <w:proofErr w:type="spellEnd"/>
      <w:r w:rsidRPr="000D340A">
        <w:rPr>
          <w:color w:val="000000"/>
          <w:sz w:val="24"/>
          <w:szCs w:val="24"/>
        </w:rPr>
        <w:t xml:space="preserve"> earthquake was followed by a tsunami with local </w:t>
      </w:r>
      <w:proofErr w:type="spellStart"/>
      <w:r w:rsidRPr="000D340A">
        <w:rPr>
          <w:color w:val="000000"/>
          <w:sz w:val="24"/>
          <w:szCs w:val="24"/>
        </w:rPr>
        <w:t>runup</w:t>
      </w:r>
      <w:proofErr w:type="spellEnd"/>
      <w:r w:rsidRPr="000D340A">
        <w:rPr>
          <w:color w:val="000000"/>
          <w:sz w:val="24"/>
          <w:szCs w:val="24"/>
        </w:rPr>
        <w:t xml:space="preserve"> reported to be 5-7 m from the village of </w:t>
      </w:r>
      <w:proofErr w:type="spellStart"/>
      <w:r w:rsidRPr="000D340A">
        <w:rPr>
          <w:color w:val="000000"/>
          <w:sz w:val="24"/>
          <w:szCs w:val="24"/>
        </w:rPr>
        <w:t>Ivashka</w:t>
      </w:r>
      <w:proofErr w:type="spellEnd"/>
      <w:r w:rsidRPr="000D340A">
        <w:rPr>
          <w:color w:val="000000"/>
          <w:sz w:val="24"/>
          <w:szCs w:val="24"/>
        </w:rPr>
        <w:t xml:space="preserve"> south around the </w:t>
      </w:r>
      <w:proofErr w:type="spellStart"/>
      <w:r w:rsidRPr="000D340A">
        <w:rPr>
          <w:color w:val="000000"/>
          <w:sz w:val="24"/>
          <w:szCs w:val="24"/>
        </w:rPr>
        <w:t>Ozernoi</w:t>
      </w:r>
      <w:proofErr w:type="spellEnd"/>
      <w:r w:rsidRPr="000D340A">
        <w:rPr>
          <w:color w:val="000000"/>
          <w:sz w:val="24"/>
          <w:szCs w:val="24"/>
        </w:rPr>
        <w:t xml:space="preserve"> Peninsula to the </w:t>
      </w:r>
      <w:proofErr w:type="spellStart"/>
      <w:r w:rsidRPr="000D340A">
        <w:rPr>
          <w:color w:val="000000"/>
          <w:sz w:val="24"/>
          <w:szCs w:val="24"/>
        </w:rPr>
        <w:t>Ozernaya</w:t>
      </w:r>
      <w:proofErr w:type="spellEnd"/>
      <w:r w:rsidRPr="000D340A">
        <w:rPr>
          <w:color w:val="000000"/>
          <w:sz w:val="24"/>
          <w:szCs w:val="24"/>
        </w:rPr>
        <w:t xml:space="preserve"> River, and a local maximum of 10-15 m south of Cape </w:t>
      </w:r>
      <w:proofErr w:type="spellStart"/>
      <w:r w:rsidRPr="000D340A">
        <w:rPr>
          <w:color w:val="000000"/>
          <w:sz w:val="24"/>
          <w:szCs w:val="24"/>
        </w:rPr>
        <w:t>Ozernoi</w:t>
      </w:r>
      <w:proofErr w:type="spellEnd"/>
      <w:r w:rsidRPr="000D340A">
        <w:rPr>
          <w:color w:val="000000"/>
          <w:sz w:val="24"/>
          <w:szCs w:val="24"/>
        </w:rPr>
        <w:t xml:space="preserve"> (</w:t>
      </w:r>
      <w:proofErr w:type="spellStart"/>
      <w:r w:rsidRPr="000D340A">
        <w:rPr>
          <w:color w:val="000000"/>
          <w:sz w:val="24"/>
          <w:szCs w:val="24"/>
        </w:rPr>
        <w:t>Olkhovaya</w:t>
      </w:r>
      <w:proofErr w:type="spellEnd"/>
      <w:r w:rsidRPr="000D340A">
        <w:rPr>
          <w:color w:val="000000"/>
          <w:sz w:val="24"/>
          <w:szCs w:val="24"/>
        </w:rPr>
        <w:t xml:space="preserve"> River) (</w:t>
      </w:r>
      <w:proofErr w:type="spellStart"/>
      <w:r w:rsidRPr="000D340A">
        <w:rPr>
          <w:color w:val="000000"/>
          <w:sz w:val="24"/>
          <w:szCs w:val="24"/>
        </w:rPr>
        <w:t>Zayakin</w:t>
      </w:r>
      <w:proofErr w:type="spellEnd"/>
      <w:r w:rsidRPr="000D340A">
        <w:rPr>
          <w:color w:val="000000"/>
          <w:sz w:val="24"/>
          <w:szCs w:val="24"/>
        </w:rPr>
        <w:t xml:space="preserve">, 1981). </w:t>
      </w:r>
      <w:proofErr w:type="spellStart"/>
      <w:r w:rsidRPr="000D340A">
        <w:rPr>
          <w:color w:val="000000"/>
          <w:sz w:val="24"/>
          <w:szCs w:val="24"/>
        </w:rPr>
        <w:t>Runup</w:t>
      </w:r>
      <w:proofErr w:type="spellEnd"/>
      <w:r w:rsidRPr="000D340A">
        <w:rPr>
          <w:color w:val="000000"/>
          <w:sz w:val="24"/>
          <w:szCs w:val="24"/>
        </w:rPr>
        <w:t xml:space="preserve"> was 1-3 m north to </w:t>
      </w:r>
      <w:proofErr w:type="spellStart"/>
      <w:r w:rsidRPr="000D340A">
        <w:rPr>
          <w:color w:val="000000"/>
          <w:sz w:val="24"/>
          <w:szCs w:val="24"/>
        </w:rPr>
        <w:t>Lavrova</w:t>
      </w:r>
      <w:proofErr w:type="spellEnd"/>
      <w:r w:rsidRPr="000D340A">
        <w:rPr>
          <w:color w:val="000000"/>
          <w:sz w:val="24"/>
          <w:szCs w:val="24"/>
        </w:rPr>
        <w:t xml:space="preserve"> Bay and southeast to Bering Island, and the tsunami was recorded on tide gages in the town of </w:t>
      </w:r>
      <w:proofErr w:type="spellStart"/>
      <w:r w:rsidRPr="000D340A">
        <w:rPr>
          <w:color w:val="000000"/>
          <w:sz w:val="24"/>
          <w:szCs w:val="24"/>
        </w:rPr>
        <w:t>Ust</w:t>
      </w:r>
      <w:proofErr w:type="spellEnd"/>
      <w:r w:rsidRPr="000D340A">
        <w:rPr>
          <w:color w:val="000000"/>
          <w:sz w:val="24"/>
          <w:szCs w:val="24"/>
        </w:rPr>
        <w:t>’-</w:t>
      </w:r>
      <w:proofErr w:type="spellStart"/>
      <w:r w:rsidRPr="000D340A">
        <w:rPr>
          <w:color w:val="000000"/>
          <w:sz w:val="24"/>
          <w:szCs w:val="24"/>
        </w:rPr>
        <w:t>Kamchatsk</w:t>
      </w:r>
      <w:proofErr w:type="spellEnd"/>
      <w:r w:rsidRPr="000D340A">
        <w:rPr>
          <w:color w:val="000000"/>
          <w:sz w:val="24"/>
          <w:szCs w:val="24"/>
        </w:rPr>
        <w:t xml:space="preserve"> and faintly in Petropavlovsk-</w:t>
      </w:r>
      <w:proofErr w:type="spellStart"/>
      <w:r w:rsidRPr="000D340A">
        <w:rPr>
          <w:color w:val="000000"/>
          <w:sz w:val="24"/>
          <w:szCs w:val="24"/>
        </w:rPr>
        <w:t>Kamchatskiy</w:t>
      </w:r>
      <w:proofErr w:type="spellEnd"/>
      <w:r w:rsidRPr="000D340A">
        <w:rPr>
          <w:color w:val="000000"/>
          <w:sz w:val="24"/>
          <w:szCs w:val="24"/>
        </w:rPr>
        <w:t xml:space="preserve">. Based on the presence of tsunami deposits above the 1964 Shiveluch tephra or the 1956 </w:t>
      </w:r>
      <w:proofErr w:type="spellStart"/>
      <w:r w:rsidRPr="000D340A">
        <w:rPr>
          <w:color w:val="000000"/>
          <w:sz w:val="24"/>
          <w:szCs w:val="24"/>
        </w:rPr>
        <w:t>Bezymianniy</w:t>
      </w:r>
      <w:proofErr w:type="spellEnd"/>
      <w:r w:rsidRPr="000D340A">
        <w:rPr>
          <w:color w:val="000000"/>
          <w:sz w:val="24"/>
          <w:szCs w:val="24"/>
        </w:rPr>
        <w:t xml:space="preserve"> tephra, we have expanded the </w:t>
      </w:r>
      <w:proofErr w:type="spellStart"/>
      <w:r w:rsidRPr="000D340A">
        <w:rPr>
          <w:color w:val="000000"/>
          <w:sz w:val="24"/>
          <w:szCs w:val="24"/>
        </w:rPr>
        <w:t>runup</w:t>
      </w:r>
      <w:proofErr w:type="spellEnd"/>
      <w:r w:rsidRPr="000D340A">
        <w:rPr>
          <w:color w:val="000000"/>
          <w:sz w:val="24"/>
          <w:szCs w:val="24"/>
        </w:rPr>
        <w:t xml:space="preserve"> catalogue for this event to all our field sites in the southwest Bering Sea. Moreover, we have evidence of post-1956 subsidence at the northern and southern extremes of the </w:t>
      </w:r>
      <w:proofErr w:type="spellStart"/>
      <w:r w:rsidRPr="000D340A">
        <w:rPr>
          <w:color w:val="000000"/>
          <w:sz w:val="24"/>
          <w:szCs w:val="24"/>
        </w:rPr>
        <w:t>Ozernoi</w:t>
      </w:r>
      <w:proofErr w:type="spellEnd"/>
      <w:r w:rsidRPr="000D340A">
        <w:rPr>
          <w:color w:val="000000"/>
          <w:sz w:val="24"/>
          <w:szCs w:val="24"/>
        </w:rPr>
        <w:t xml:space="preserve"> Peninsula, which we interpret to be co-seismic with 1969 event.</w:t>
      </w:r>
    </w:p>
    <w:p w:rsidR="002F568A" w:rsidRPr="000D340A" w:rsidRDefault="002F568A" w:rsidP="000D340A">
      <w:pPr>
        <w:rPr>
          <w:sz w:val="24"/>
          <w:szCs w:val="24"/>
        </w:rPr>
      </w:pPr>
    </w:p>
    <w:sectPr w:rsidR="002F568A" w:rsidRPr="000D340A" w:rsidSect="006B08D2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0A"/>
    <w:rsid w:val="000D340A"/>
    <w:rsid w:val="002F568A"/>
    <w:rsid w:val="006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E557-CAF2-4E04-BE7B-F3F6F000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2016-02-25T01:56:00Z</dcterms:created>
  <dcterms:modified xsi:type="dcterms:W3CDTF">2016-02-25T01:59:00Z</dcterms:modified>
</cp:coreProperties>
</file>